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차례</w:t>
      </w:r>
    </w:p>
    <w:p>
      <w:pPr>
        <w:jc w:val="center"/>
        <w:rPr>
          <w:lang w:eastAsia="ko-KR"/>
          <w:rFonts w:ascii="맑은 고딕" w:eastAsia="맑은 고딕" w:hAnsi="맑은 고딕" w:hint="eastAsia"/>
          <w:b/>
          <w:bCs/>
          <w:sz w:val="32"/>
          <w:szCs w:val="34"/>
          <w:rtl w:val="off"/>
        </w:rPr>
      </w:pPr>
    </w:p>
    <w:p>
      <w:pPr>
        <w:pStyle w:val="12"/>
        <w:bidi w:val="off"/>
        <w:tabs>
          <w:tab w:val="right" w:pos="9016" w:leader="dot"/>
        </w:tabs>
      </w:pPr>
      <w:r>
        <w:rPr/>
        <w:fldChar w:fldCharType="begin"/>
      </w:r>
      <w:r>
        <w:rPr/>
        <w:instrText xml:space="preserve"> TOC \o "1-1" \h \u </w:instrText>
      </w:r>
      <w:r>
        <w:rPr/>
        <w:fldChar w:fldCharType="separate"/>
      </w:r>
      <w:r>
        <w:fldChar w:fldCharType="begin"/>
      </w:r>
      <w:r>
        <w:instrText xml:space="preserve"> Hyperlink \l "_Toc1584620737" </w:instrText>
      </w:r>
      <w:r>
        <w:fldChar w:fldCharType="separate"/>
      </w:r>
      <w:r>
        <w:rPr>
          <w:rStyle w:val="affff8"/>
          <w:noProof/>
        </w:rPr>
        <w:t>1. 강강술래</w:t>
      </w:r>
      <w:r>
        <w:tab/>
      </w:r>
      <w:r>
        <w:fldChar w:fldCharType="begin"/>
      </w:r>
      <w:r>
        <w:instrText xml:space="preserve"> PAGEREF _Toc1584620737 \h </w:instrText>
      </w:r>
      <w:r>
        <w:fldChar w:fldCharType="separate"/>
      </w:r>
      <w:r>
        <w:t>2</w:t>
      </w:r>
      <w:r>
        <w:fldChar w:fldCharType="end"/>
      </w:r>
      <w:r>
        <w:fldChar w:fldCharType="end"/>
      </w:r>
    </w:p>
    <w:p>
      <w:pPr>
        <w:pStyle w:val="12"/>
        <w:bidi w:val="off"/>
        <w:tabs>
          <w:tab w:val="right" w:pos="9016" w:leader="dot"/>
        </w:tabs>
      </w:pPr>
      <w:r>
        <w:fldChar w:fldCharType="begin"/>
      </w:r>
      <w:r>
        <w:instrText xml:space="preserve"> Hyperlink \l "_Toc1584621449" </w:instrText>
      </w:r>
      <w:r>
        <w:fldChar w:fldCharType="separate"/>
      </w:r>
      <w:r>
        <w:rPr>
          <w:rStyle w:val="affff8"/>
          <w:noProof/>
        </w:rPr>
        <w:t>2. 북청사자놀음</w:t>
      </w:r>
      <w:r>
        <w:tab/>
      </w:r>
      <w:r>
        <w:fldChar w:fldCharType="begin"/>
      </w:r>
      <w:r>
        <w:instrText xml:space="preserve"> PAGEREF _Toc1584621449 \h </w:instrText>
      </w:r>
      <w:r>
        <w:fldChar w:fldCharType="separate"/>
      </w:r>
      <w:r>
        <w:t>4</w:t>
      </w:r>
      <w:r>
        <w:fldChar w:fldCharType="end"/>
      </w:r>
      <w:r>
        <w:fldChar w:fldCharType="end"/>
      </w:r>
    </w:p>
    <w:p>
      <w:pPr>
        <w:pStyle w:val="12"/>
        <w:bidi w:val="off"/>
        <w:tabs>
          <w:tab w:val="right" w:pos="9016" w:leader="dot"/>
        </w:tabs>
      </w:pPr>
      <w:r>
        <w:fldChar w:fldCharType="begin"/>
      </w:r>
      <w:r>
        <w:instrText xml:space="preserve"> Hyperlink \l "_Toc1584620739" </w:instrText>
      </w:r>
      <w:r>
        <w:fldChar w:fldCharType="separate"/>
      </w:r>
      <w:r>
        <w:rPr>
          <w:rStyle w:val="affff8"/>
          <w:noProof/>
        </w:rPr>
        <w:t>3. 송파산대놀이</w:t>
      </w:r>
      <w:r>
        <w:tab/>
      </w:r>
      <w:r>
        <w:fldChar w:fldCharType="begin"/>
      </w:r>
      <w:r>
        <w:instrText xml:space="preserve"> PAGEREF _Toc1584620739 \h </w:instrText>
      </w:r>
      <w:r>
        <w:fldChar w:fldCharType="separate"/>
      </w:r>
      <w:r>
        <w:t>5</w:t>
      </w:r>
      <w:r>
        <w:fldChar w:fldCharType="end"/>
      </w:r>
      <w:r>
        <w:fldChar w:fldCharType="end"/>
      </w:r>
    </w:p>
    <w:p>
      <w:pPr>
        <w:jc w:val="center"/>
        <w:rPr>
          <w:lang w:eastAsia="ko-KR"/>
          <w:rFonts w:ascii="맑은 고딕" w:eastAsia="맑은 고딕" w:hAnsi="맑은 고딕" w:hint="eastAsia"/>
          <w:b/>
          <w:bCs/>
          <w:sz w:val="32"/>
          <w:szCs w:val="34"/>
          <w:rtl w:val="off"/>
        </w:rPr>
        <w:sectPr>
          <w:pgSz w:w="11906" w:h="16838"/>
          <w:pgMar w:top="1701" w:right="1440" w:bottom="1440" w:left="1440" w:header="851" w:footer="992" w:gutter="0"/>
          <w:cols/>
          <w:docGrid w:linePitch="360"/>
          <w:footnotePr/>
          <w:endnotePr>
            <w:numFmt w:val="upperLetter"/>
          </w:endnotePr>
          <w:footerReference w:type="default" r:id="rId1"/>
        </w:sectPr>
      </w:pPr>
      <w:r>
        <w:rPr/>
        <w:fldChar w:fldCharType="end"/>
      </w: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조선의 무용</w:t>
      </w:r>
    </w:p>
    <w:p>
      <w:pPr>
        <w:rPr>
          <w:lang w:eastAsia="ko-KR"/>
          <w:rFonts w:ascii="맑은 고딕" w:eastAsia="맑은 고딕" w:hAnsi="맑은 고딕" w:hint="eastAsia"/>
          <w:sz w:val="26"/>
          <w:szCs w:val="28"/>
          <w:rtl w:val="off"/>
        </w:rPr>
      </w:pPr>
    </w:p>
    <w:p>
      <w:pPr>
        <w:pStyle w:val="1"/>
        <w:ind w:leftChars="0"/>
        <w:rPr>
          <w:lang w:eastAsia="ko-KR"/>
          <w:rtl w:val="off"/>
        </w:rPr>
      </w:pPr>
      <w:bookmarkStart w:id="1" w:name="_Toc1584620737"/>
      <w:r>
        <w:rPr>
          <w:lang w:eastAsia="ko-KR"/>
          <w:rtl w:val="off"/>
        </w:rPr>
        <w:t>1. 강강술</w:t>
      </w:r>
      <w:bookmarkEnd w:id="1"/>
      <w:r>
        <w:rPr>
          <w:lang w:eastAsia="ko-KR"/>
          <w:rtl w:val="off"/>
        </w:rPr>
        <w:t>래</w:t>
      </w:r>
    </w:p>
    <w:p>
      <w:pPr>
        <w:rPr>
          <w:rFonts w:ascii="맑은 고딕" w:eastAsia="맑은 고딕" w:hAnsi="맑은 고딕" w:hint="default"/>
          <w:sz w:val="26"/>
          <w:szCs w:val="28"/>
        </w:rPr>
      </w:pPr>
      <w:r>
        <w:rPr>
          <w:rFonts w:ascii="맑은 고딕" w:eastAsia="맑은 고딕" w:hAnsi="맑은 고딕" w:hint="default"/>
          <w:sz w:val="26"/>
          <w:szCs w:val="28"/>
        </w:rPr>
        <w:t>강강술래는 노래와 춤이 하나로 어우러진 부녀자</w:t>
      </w:r>
      <w:r>
        <w:rPr>
          <w:rStyle w:val="a7"/>
          <w:rFonts w:ascii="맑은 고딕" w:eastAsia="맑은 고딕" w:hAnsi="맑은 고딕" w:hint="default"/>
          <w:sz w:val="26"/>
          <w:szCs w:val="28"/>
        </w:rPr>
        <w:footnoteReference w:id="1"/>
      </w:r>
      <w:r>
        <w:rPr>
          <w:rFonts w:ascii="맑은 고딕" w:eastAsia="맑은 고딕" w:hAnsi="맑은 고딕" w:hint="default"/>
          <w:sz w:val="26"/>
          <w:szCs w:val="28"/>
        </w:rPr>
        <w:t>들의 집단놀이로 주로 전라남도 해안지방에서 추석을 전후하여 달밤에 행해졌다.</w:t>
      </w:r>
    </w:p>
    <w:p>
      <w:pPr>
        <w:rPr>
          <w:rFonts w:ascii="맑은 고딕" w:eastAsia="맑은 고딕" w:hAnsi="맑은 고딕" w:hint="default"/>
          <w:sz w:val="26"/>
          <w:szCs w:val="28"/>
        </w:rPr>
      </w:pPr>
      <w:r>
        <w:rPr>
          <w:rFonts w:ascii="맑은 고딕" w:eastAsia="맑은 고딕" w:hAnsi="맑은 고딕" w:hint="default"/>
          <w:sz w:val="26"/>
          <w:szCs w:val="28"/>
        </w:rPr>
        <w:t>임진왜란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rPr>
          <w:rFonts w:ascii="맑은 고딕" w:eastAsia="맑은 고딕" w:hAnsi="맑은 고딕" w:hint="default"/>
          <w:sz w:val="26"/>
          <w:szCs w:val="28"/>
        </w:rPr>
      </w:pPr>
      <w:r>
        <w:rPr>
          <w:rFonts w:ascii="맑은 고딕" w:eastAsia="맑은 고딕" w:hAnsi="맑은 고딕" w:hint="default"/>
          <w:sz w:val="26"/>
          <w:szCs w:val="28"/>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rPr>
          <w:rFonts w:ascii="맑은 고딕" w:eastAsia="맑은 고딕" w:hAnsi="맑은 고딕" w:hint="default"/>
          <w:sz w:val="26"/>
          <w:szCs w:val="28"/>
        </w:rPr>
      </w:pPr>
      <w:r>
        <w:rPr>
          <w:rFonts w:ascii="맑은 고딕" w:eastAsia="맑은 고딕" w:hAnsi="맑은 고딕" w:hint="default"/>
          <w:sz w:val="26"/>
          <w:szCs w:val="28"/>
        </w:rPr>
        <w:t>놀이는 늦은강강술래로 시작하여 중강강술래, 잦은강강술래로 변화하면서 발놀림이 빨라지고 흥이 절정에 이르는데, 이중 가장 아름답고 여성놀이다운 멋이 깃들여 있는 것이 늦은강강술래이고, 중강강술래는 해남과 진도지방에서만 보이는 특징을 지니고 있다.</w:t>
      </w:r>
    </w:p>
    <w:p>
      <w:pPr>
        <w:rPr>
          <w:rFonts w:ascii="맑은 고딕" w:eastAsia="맑은 고딕" w:hAnsi="맑은 고딕" w:hint="default"/>
          <w:sz w:val="26"/>
          <w:szCs w:val="28"/>
        </w:rPr>
      </w:pPr>
      <w:r>
        <w:rPr>
          <w:rFonts w:ascii="맑은 고딕" w:eastAsia="맑은 고딕" w:hAnsi="맑은 고딕" w:hint="default"/>
          <w:sz w:val="26"/>
          <w:szCs w:val="28"/>
        </w:rPr>
        <w:t>강강술래는 여성의 놀이가 적었던 때에 활달한 여성의 기상을 보여준 민속놀이의 하나로 민족정서가 아름답게 표현되어 있다.</w:t>
      </w:r>
    </w:p>
    <w:p>
      <w:pPr>
        <w:rPr>
          <w:rFonts w:ascii="맑은 고딕" w:eastAsia="맑은 고딕" w:hAnsi="맑은 고딕" w:hint="default"/>
          <w:sz w:val="26"/>
          <w:szCs w:val="28"/>
        </w:rPr>
      </w:pPr>
      <w:r>
        <w:rPr>
          <w:rFonts w:ascii="맑은 고딕" w:eastAsia="맑은 고딕" w:hAnsi="맑은 고딕" w:hint="default"/>
          <w:sz w:val="26"/>
          <w:szCs w:val="28"/>
        </w:rPr>
        <w:t>유래를 살펴보면,</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"https://ko.wikipedia.org/wiki/%EC%A0%95%EC%9C%A0%EC%9E%AC%EB%9E%80"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정유재란</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"https://ko.wikipedia.org/wiki/%EB%AA%85%EB%9F%89%ED%95%B4%EC%A0%84"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명량해전</w:t>
      </w:r>
      <w:r>
        <w:rPr>
          <w:rFonts w:ascii="맑은 고딕" w:eastAsia="맑은 고딕" w:hAnsi="맑은 고딕" w:hint="default"/>
          <w:sz w:val="26"/>
          <w:szCs w:val="28"/>
        </w:rPr>
        <w:fldChar w:fldCharType="end"/>
      </w:r>
      <w:r>
        <w:rPr>
          <w:rFonts w:ascii="맑은 고딕" w:eastAsia="맑은 고딕" w:hAnsi="맑은 고딕" w:hint="default"/>
          <w:sz w:val="26"/>
          <w:szCs w:val="28"/>
        </w:rPr>
        <w:t>때</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"https://ko.wikipedia.org/wiki/%EC%9D%B4%EC%88%9C%EC%8B%A0"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이순신</w:t>
      </w:r>
      <w:r>
        <w:rPr>
          <w:rFonts w:ascii="맑은 고딕" w:eastAsia="맑은 고딕" w:hAnsi="맑은 고딕" w:hint="default"/>
          <w:sz w:val="26"/>
          <w:szCs w:val="28"/>
        </w:rPr>
        <w:fldChar w:fldCharType="end"/>
      </w:r>
      <w:r>
        <w:rPr>
          <w:rFonts w:ascii="맑은 고딕" w:eastAsia="맑은 고딕" w:hAnsi="맑은 고딕" w:hint="default"/>
          <w:sz w:val="26"/>
          <w:szCs w:val="28"/>
        </w:rPr>
        <w:t>장군이 수병(수군)을 거느리고</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"https://ko.wikipedia.org/wiki/%ED%95%B4%EB%82%A8"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해남</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"https://ko.wikipedia.org/w/index.php?title=%EC%9A%B0%EC%88%98%EC%98%81&amp;amp;action=edit&amp;amp;redlink=1"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우수영</w:t>
      </w:r>
      <w:r>
        <w:rPr>
          <w:rFonts w:ascii="맑은 고딕" w:eastAsia="맑은 고딕" w:hAnsi="맑은 고딕" w:hint="default"/>
          <w:sz w:val="26"/>
          <w:szCs w:val="28"/>
        </w:rPr>
        <w:fldChar w:fldCharType="end"/>
      </w:r>
      <w:r>
        <w:rPr>
          <w:rFonts w:ascii="맑은 고딕" w:eastAsia="맑은 고딕" w:hAnsi="맑은 고딕" w:hint="default"/>
          <w:sz w:val="26"/>
          <w:szCs w:val="28"/>
        </w:rPr>
        <w:t>에서 왜군과 대치할 때의 일화가 전한다. 조선 수병들이 매우 많은 것처럼 보여</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"https://ko.wikipedia.org/wiki/%EC%99%9C%EA%B5%B0"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왜군</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이 함부로 침입해 들어올 수 없게 하기 위하여 부녀자들로 하여금 남자 차림을 하고 떼지어 올라가 옥매산(玉埋山) 허리를 빙빙 돌게 했다고 한다. 그러자 바다 위의 왜군들은 이순신의 군사가 엄청나게 많은 줄로 알고 지레 겁을 먹고 달아나 버렸다 한다. 싸움이 끝난 뒤 부근의 마을 부녀자들이 이를 기념하기 위하여 '강강술래'라는 노래를 부르며 즐기던 것이 바로 오늘날의 강강술래라 한다. 따라서 한자어 '강강수월래(強羌水越來)'는 '강한 오랑캐가 물을 건너온다'고 해석된다는 것이다. 그러나 우리말을 자세히 분석해 보면 '강강'의 강은 '주위·원(圓)'이란 뜻의 전라도 사투리이며, 술래는 한자어 '순라(巡羅)'에서 비롯된 말로서 경계하라는 뜻을 지니고 있으므로 '주위를 경계하라'는 구호가 아닌가 싶다. 그런데 '술래'가 '수월래'로 들리며 간혹 그렇게 쓰기 쉬운 것은, 노래를 할 때 길게 뽑으면 그렇게 들리기 때문이 아닌가 생각된다</w:t>
      </w:r>
    </w:p>
    <w:p>
      <w:pPr>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위와 같은 한자풀이식 해석은 대표적인 야설이다. 강강수월래는 의미가 없거나 원래 의미가 희석된 후렴구로서 원래 있었던 놀이가 당시의 이야기와 결합되면서 만들어진 해석으로 보인다.</w:t>
      </w:r>
    </w:p>
    <w:p>
      <w:pPr>
        <w:pStyle w:val="1"/>
        <w:ind w:leftChars="0"/>
        <w:rPr>
          <w:lang w:val="en-US" w:eastAsia="ko-KR" w:bidi="ar-SA"/>
          <w:rtl w:val="off"/>
        </w:rPr>
      </w:pPr>
      <w:bookmarkStart w:id="2" w:name="_Toc1584620738"/>
      <w:r>
        <w:rPr>
          <w:lang w:val="en-US" w:eastAsia="ko-KR" w:bidi="ar-SA"/>
          <w:rtl w:val="off"/>
        </w:rPr>
        <w:br w:type="page"/>
      </w:r>
    </w:p>
    <w:p>
      <w:pPr>
        <w:pStyle w:val="1"/>
        <w:ind w:leftChars="0"/>
        <w:rPr>
          <w:lang w:eastAsia="ko-KR"/>
          <w:rFonts w:ascii="맑은 고딕" w:eastAsia="맑은 고딕" w:hAnsi="맑은 고딕" w:hint="eastAsia"/>
          <w:sz w:val="26"/>
          <w:szCs w:val="28"/>
          <w:rtl w:val="off"/>
        </w:rPr>
      </w:pPr>
      <w:bookmarkStart w:id="3" w:name="_Toc1584621449"/>
      <w:r>
        <w:rPr>
          <w:lang w:val="en-US" w:eastAsia="ko-KR" w:bidi="ar-SA"/>
          <w:rtl w:val="off"/>
        </w:rPr>
        <w:t>2. 북청사자놀</w:t>
      </w:r>
      <w:bookmarkEnd w:id="2"/>
      <w:bookmarkEnd w:id="3"/>
      <w:r>
        <w:rPr>
          <w:lang w:val="en-US" w:eastAsia="ko-KR" w:bidi="ar-SA"/>
          <w:rtl w:val="off"/>
        </w:rPr>
        <w:t>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w:t>
      </w:r>
      <w:r>
        <w:rPr>
          <w:lang w:val="en-US" w:eastAsia="ko-KR" w:bidi="ar-SA"/>
          <w:rFonts w:ascii="맑은 고딕" w:eastAsia="맑은 고딕" w:hAnsi="맑은 고딕" w:cs="Arial" w:hint="default"/>
          <w:sz w:val="26"/>
          <w:szCs w:val="28"/>
          <w:kern w:val="2"/>
        </w:rPr>
        <w:t>(北靑獅子놀음)은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w:t>
      </w:r>
      <w:r>
        <w:rPr>
          <w:rStyle w:val="aff0"/>
          <w:lang w:val="en-US" w:eastAsia="ko-KR" w:bidi="ar-SA"/>
          <w:rFonts w:ascii="맑은 고딕" w:eastAsia="맑은 고딕" w:hAnsi="맑은 고딕" w:cs="Arial" w:hint="default"/>
          <w:sz w:val="26"/>
          <w:szCs w:val="28"/>
          <w:kern w:val="2"/>
        </w:rPr>
        <w:endnoteReference w:id="1"/>
      </w:r>
      <w:r>
        <w:rPr>
          <w:lang w:val="en-US" w:eastAsia="ko-KR" w:bidi="ar-SA"/>
          <w:rFonts w:ascii="맑은 고딕" w:eastAsia="맑은 고딕" w:hAnsi="맑은 고딕" w:cs="Arial" w:hint="default"/>
          <w:sz w:val="26"/>
          <w:szCs w:val="28"/>
          <w:kern w:val="2"/>
        </w:rPr>
        <w:t>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pStyle w:val="1"/>
        <w:ind w:leftChars="0"/>
        <w:rPr>
          <w:lang w:val="en-US" w:eastAsia="ko-KR" w:bidi="ar-SA"/>
          <w:rtl w:val="off"/>
        </w:rPr>
      </w:pPr>
      <w:bookmarkStart w:id="4" w:name="_Toc1584620739"/>
      <w:r>
        <w:rPr>
          <w:lang w:val="en-US" w:eastAsia="ko-KR" w:bidi="ar-SA"/>
          <w:rtl w:val="off"/>
        </w:rPr>
        <w:t>3</w:t>
      </w:r>
      <w:r>
        <w:rPr>
          <w:lang w:val="en-US" w:eastAsia="ko-KR" w:bidi="ar-SA"/>
          <w:rtl w:val="off"/>
        </w:rPr>
        <w:t>. 송파산대놀</w:t>
      </w:r>
      <w:bookmarkEnd w:id="4"/>
      <w:r>
        <w:rPr>
          <w:lang w:val="en-US" w:eastAsia="ko-KR" w:bidi="ar-SA"/>
          <w:rtl w:val="off"/>
        </w:rPr>
        <w:t>이</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w:t>
      </w:r>
      <w:r>
        <w:rPr>
          <w:lang w:val="en-US" w:eastAsia="ko-KR" w:bidi="ar-SA"/>
          <w:rFonts w:ascii="맑은 고딕" w:eastAsia="맑은 고딕" w:hAnsi="맑은 고딕" w:cs="Arial" w:hint="default"/>
          <w:sz w:val="26"/>
          <w:szCs w:val="28"/>
          <w:kern w:val="2"/>
        </w:rPr>
        <w:t>(松坡山臺놀이)는 송파 지역에서 전승되던 탈놀이로, 놀이꾼들이 탈을 쓰고 재담, 춤, 노래, 연기를 하며 벌이는 연극적인 놀음이다.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송파는 한강변의 5강(송파, 한강, 서빙고, 용산, 마포)의 하나로서 송파진(松坡津)으로 불리던 곳이며, 조선왕조 후기에는 한국에서 가장 큰 향시(鄕市) 15곳 중의 하나인 송파장을 이루어, 송파산대놀이의 경제적 요건이 갖추어져 있었다. 연희자의 한사람인 허호영(許浩永)의 말에 의하면 약 200년 전부터 송파산대놀이가 창성되었으나 중도에 쇠진되었던 것을 1900년부터 송파에 거주하는 허윤(許鈗)에 의해 구파발 본산대 연희자 윤희중(尹熙重, 1840∼1923)을 초빙하여 재건하고, 그 뒤 연중행사로 정월 보름ㆍ단오ㆍ백중ㆍ추석에 놀았는데 7월 백중에는 크게 놀았다고 한다. 1924년에는 큰 규모의 산대놀이 모임을 송파에서 열었는데 이때에 구파발ㆍ아현ㆍ퇴계원ㆍ의정부ㆍ노량진 등지에서 20여명의 이름있는 연희자들이 모였다고 한다. 이듬해 한강대홍수로 송파마을이 유실되자 주민들은 가락동과 돌말이[石村]에 정착하면서 산대놀이의 명맥을 이어오다가 현재 국가무형문화재 제49호로 지정되어 보존되고 있으며, 서울놀이마당 전수회관에서 전수되고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"https://ko.wikipedia.org/wiki/%EC%96%91%EC%A3%BC%EB%B3%84%EC%82%B0%EB%8C%80%EB%86%80%EC%9D%B4"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양주별산대놀이</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와 같이 그 주제를 보아서도 산대도감극(山臺都監劇) 계통의 중부형(中部型)의 한 분파이다.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br w:type="page"/>
      </w:r>
    </w:p>
    <w:p>
      <w:pPr>
        <w:rPr>
          <w:rFonts w:ascii="맑은 고딕" w:eastAsia="맑은 고딕" w:hAnsi="맑은 고딕" w:hint="default"/>
          <w:sz w:val="26"/>
          <w:szCs w:val="28"/>
        </w:rPr>
      </w:pPr>
    </w:p>
    <w:sectPr>
      <w:pgSz w:w="11906" w:h="16838"/>
      <w:pgMar w:top="1701" w:right="1440" w:bottom="1440" w:left="1440" w:header="851" w:footer="992" w:gutter="0"/>
      <w:cols/>
      <w:docGrid w:linePitch="360"/>
      <w:footnotePr/>
      <w:endnotePr>
        <w:numFmt w:val="upperLetter"/>
      </w:endnoteP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endnote w:type="separator" w:id="-1">
    <w:p>
      <w:pPr>
        <w:spacing w:after="0" w:line="240" w:lineRule="auto"/>
      </w:pPr>
      <w:r>
        <w:separator/>
      </w:r>
    </w:p>
  </w:endnote>
  <w:endnote w:type="continuationSeparator" w:id="0">
    <w:p>
      <w:pPr>
        <w:spacing w:after="0" w:line="240" w:lineRule="auto"/>
      </w:pPr>
      <w:r>
        <w:continuationSeparator/>
      </w:r>
    </w:p>
  </w:endnote>
  <w:endnote w:id="1">
    <w:p>
      <w:pPr/>
      <w:r>
        <w:rPr>
          <w:rStyle w:val="aff0"/>
        </w:rPr>
        <w:endnoteRef/>
      </w:r>
      <w:r>
        <w:rPr/>
        <w:t xml:space="preserve"> </w:t>
      </w:r>
      <w:r>
        <w:rPr/>
        <w:t>탈을 쓰고 하는 놀음놀이. 꼭두각시놀음, 산대놀음 따위가 있다.</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0"/>
          <w:jc w:val="center"/>
        </w:pPr>
        <w:r/>
        <w:r>
          <w:fldChar w:fldCharType="begin"/>
        </w:r>
        <w:r>
          <w:instrText xml:space="preserve"> PAGE   \* MERGEFORMAT </w:instrText>
        </w:r>
        <w:r>
          <w:fldChar w:fldCharType="separate"/>
        </w:r>
        <w:r>
          <w:rPr>
            <w:noProof/>
          </w:rPr>
          <w:t>1</w:t>
        </w:r>
        <w:r>
          <w:fldChar w:fldCharType="end"/>
        </w:r>
      </w:p>
      <w:p>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r>
        <w:rPr>
          <w:rStyle w:val="a7"/>
        </w:rPr>
        <w:footnoteRef/>
      </w:r>
      <w:r>
        <w:rPr/>
        <w:t xml:space="preserve"> </w:t>
      </w:r>
      <w:r>
        <w:rPr/>
        <w:t xml:space="preserve">결혼한 여자와 성숙한 여자를 통틀어 이르는 말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endnotePr>
    <w:endnote w:id="-1"/>
    <w:endnote w:id="0"/>
    <w:numFmt w:val="upperLetter"/>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9"/>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fe">
    <w:name w:val="List Paragraph"/>
    <w:uiPriority w:val="34"/>
    <w:basedOn w:val="a2"/>
    <w:qFormat/>
    <w:pPr>
      <w:ind w:left="851"/>
    </w:pPr>
  </w:style>
  <w:style w:type="character" w:styleId="a7">
    <w:name w:val="footnote reference"/>
    <w:uiPriority w:val="99"/>
    <w:basedOn w:val="a3"/>
    <w:unhideWhenUsed/>
    <w:rPr>
      <w:vertAlign w:val="superscript"/>
    </w:rPr>
  </w:style>
  <w:style w:type="paragraph" w:styleId="a8">
    <w:name w:val="footnote text"/>
    <w:uiPriority w:val="99"/>
    <w:basedOn w:val="a2"/>
    <w:link w:val="Char"/>
    <w:unhideWhenUsed/>
    <w:pPr>
      <w:snapToGrid w:val="0"/>
      <w:jc w:val="left"/>
    </w:pPr>
  </w:style>
  <w:style w:type="character" w:customStyle="1" w:styleId="Char">
    <w:name w:val="각주 텍스트 Char"/>
    <w:uiPriority w:val="99"/>
    <w:basedOn w:val="a3"/>
    <w:link w:val="a8"/>
  </w:style>
  <w:style w:type="character" w:styleId="aff0">
    <w:name w:val="endnote reference"/>
    <w:uiPriority w:val="99"/>
    <w:basedOn w:val="a3"/>
    <w:unhideWhenUsed/>
    <w:rPr>
      <w:vertAlign w:val="superscript"/>
    </w:rPr>
  </w:style>
  <w:style w:type="paragraph" w:styleId="aff1">
    <w:name w:val="endnote text"/>
    <w:uiPriority w:val="99"/>
    <w:basedOn w:val="a2"/>
    <w:link w:val="Charb"/>
    <w:unhideWhenUsed/>
    <w:pPr>
      <w:snapToGrid w:val="0"/>
      <w:jc w:val="left"/>
    </w:pPr>
  </w:style>
  <w:style w:type="character" w:customStyle="1" w:styleId="Charb">
    <w:name w:val="미주 텍스트 Char"/>
    <w:uiPriority w:val="99"/>
    <w:basedOn w:val="a3"/>
    <w:link w:val="aff1"/>
  </w:style>
  <w:style w:type="paragraph" w:styleId="1">
    <w:name w:val="heading 1"/>
    <w:uiPriority w:val="9"/>
    <w:basedOn w:val="a2"/>
    <w:next w:val="a2"/>
    <w:link w:val="1Char"/>
    <w:qFormat/>
    <w:pPr>
      <w:keepNext/>
      <w:outlineLvl w:val="0"/>
    </w:pPr>
    <w:rPr>
      <w:rFonts w:asciiTheme="majorHAnsi" w:eastAsiaTheme="majorEastAsia" w:hAnsiTheme="majorHAnsi" w:cstheme="majorBidi"/>
      <w:sz w:val="28"/>
      <w:szCs w:val="28"/>
    </w:rPr>
  </w:style>
  <w:style w:type="character" w:customStyle="1" w:styleId="1Char">
    <w:name w:val="제목 1 Char"/>
    <w:uiPriority w:val="9"/>
    <w:basedOn w:val="a3"/>
    <w:link w:val="1"/>
    <w:rPr>
      <w:rFonts w:asciiTheme="majorHAnsi" w:eastAsiaTheme="majorEastAsia" w:hAnsiTheme="majorHAnsi" w:cstheme="majorBidi"/>
      <w:sz w:val="28"/>
      <w:szCs w:val="28"/>
    </w:rPr>
  </w:style>
  <w:style w:type="paragraph" w:styleId="12">
    <w:name w:val="toc 1"/>
    <w:uiPriority w:val="39"/>
    <w:basedOn w:val="a2"/>
    <w:next w:val="a2"/>
    <w:autoRedefine/>
    <w:semiHidden/>
    <w:unhideWhenUsed/>
  </w:style>
  <w:style w:type="character" w:styleId="affff8">
    <w:name w:val="Hyperlink"/>
    <w:uiPriority w:val="99"/>
    <w:basedOn w:val="a3"/>
    <w:semiHidden/>
    <w:unhideWhenUsed/>
    <w:rPr>
      <w:color w:val="0000FF"/>
      <w:u w:val="single" w:color="auto"/>
    </w:rPr>
  </w:style>
  <w:style w:type="paragraph" w:styleId="a0">
    <w:name w:val="footer"/>
    <w:uiPriority w:val="99"/>
    <w:basedOn w:val="a2"/>
    <w:unhideWhenUsed/>
    <w:pPr>
      <w:snapToGrid w:val="0"/>
      <w:tabs>
        <w:tab w:val="center" w:pos="4513"/>
        <w:tab w:val="right" w:pos="9026"/>
      </w:tabs>
    </w:pPr>
    <w:rPr>
      <w:rFonts w:cstheme="minorBidi"/>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2020-04-21T08:09:01Z</dcterms:modified>
  <cp:version>1100.0100.01</cp:version>
</cp:coreProperties>
</file>